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439" w:rsidRPr="00FC1439" w:rsidRDefault="00FC1439" w:rsidP="00FC1439">
      <w:pPr>
        <w:pStyle w:val="NormalWeb"/>
        <w:spacing w:before="0" w:beforeAutospacing="0" w:after="0" w:afterAutospacing="0" w:line="234" w:lineRule="atLeast"/>
        <w:jc w:val="center"/>
        <w:rPr>
          <w:color w:val="000000"/>
          <w:sz w:val="26"/>
          <w:szCs w:val="26"/>
        </w:rPr>
      </w:pPr>
      <w:bookmarkStart w:id="0" w:name="chuong_pl_9"/>
      <w:r w:rsidRPr="00FC1439">
        <w:rPr>
          <w:rStyle w:val="Strong"/>
          <w:color w:val="000000"/>
          <w:sz w:val="26"/>
          <w:szCs w:val="26"/>
        </w:rPr>
        <w:t>PHỤ LỤC VII</w:t>
      </w:r>
      <w:bookmarkEnd w:id="0"/>
    </w:p>
    <w:p w:rsidR="00FC1439" w:rsidRPr="00FC1439" w:rsidRDefault="00FC1439" w:rsidP="00FC1439">
      <w:pPr>
        <w:pStyle w:val="NormalWeb"/>
        <w:spacing w:before="0" w:beforeAutospacing="0" w:after="0" w:afterAutospacing="0" w:line="234" w:lineRule="atLeast"/>
        <w:jc w:val="center"/>
        <w:rPr>
          <w:color w:val="000000"/>
          <w:sz w:val="26"/>
          <w:szCs w:val="26"/>
        </w:rPr>
      </w:pPr>
      <w:bookmarkStart w:id="1" w:name="chuong_pl_9_name"/>
      <w:r w:rsidRPr="00FC1439">
        <w:rPr>
          <w:rStyle w:val="Strong"/>
          <w:b w:val="0"/>
          <w:bCs w:val="0"/>
          <w:color w:val="000000"/>
          <w:sz w:val="26"/>
          <w:szCs w:val="26"/>
        </w:rPr>
        <w:t>DANH MỤC PHƯƠNG TIỆN PHÒNG CHÁY VÀ CHỮA CHÁY THUỘC DIỆN KIỂM ĐỊNH</w:t>
      </w:r>
      <w:bookmarkEnd w:id="1"/>
      <w:r w:rsidRPr="00FC1439">
        <w:rPr>
          <w:b/>
          <w:bCs/>
          <w:color w:val="000000"/>
          <w:sz w:val="26"/>
          <w:szCs w:val="26"/>
        </w:rPr>
        <w:br/>
      </w:r>
      <w:r w:rsidRPr="00FC1439">
        <w:rPr>
          <w:i/>
          <w:iCs/>
          <w:color w:val="000000"/>
          <w:sz w:val="26"/>
          <w:szCs w:val="26"/>
        </w:rPr>
        <w:t>(Kèm theo Nghị định số 50/2024/NĐ-CP ngày 10 tháng 5 năm 2024 của Chính phủ)</w:t>
      </w:r>
    </w:p>
    <w:p w:rsidR="00FC1439" w:rsidRPr="00FC1439" w:rsidRDefault="00FC1439" w:rsidP="00FC1439">
      <w:pPr>
        <w:pStyle w:val="NormalWeb"/>
        <w:spacing w:before="120" w:beforeAutospacing="0" w:after="0" w:afterAutospacing="0" w:line="234" w:lineRule="atLeast"/>
        <w:rPr>
          <w:color w:val="000000"/>
          <w:sz w:val="26"/>
          <w:szCs w:val="26"/>
        </w:rPr>
      </w:pPr>
      <w:r w:rsidRPr="00FC1439">
        <w:rPr>
          <w:color w:val="000000"/>
          <w:sz w:val="26"/>
          <w:szCs w:val="26"/>
        </w:rPr>
        <w:t>1. Máy bơm chữa cháy.</w:t>
      </w:r>
      <w:bookmarkStart w:id="2" w:name="_GoBack"/>
      <w:bookmarkEnd w:id="2"/>
    </w:p>
    <w:p w:rsidR="00FC1439" w:rsidRPr="00FC1439" w:rsidRDefault="00FC1439" w:rsidP="00FC1439">
      <w:pPr>
        <w:pStyle w:val="NormalWeb"/>
        <w:spacing w:before="120" w:beforeAutospacing="0" w:after="0" w:afterAutospacing="0" w:line="234" w:lineRule="atLeast"/>
        <w:rPr>
          <w:color w:val="000000"/>
          <w:sz w:val="26"/>
          <w:szCs w:val="26"/>
        </w:rPr>
      </w:pPr>
      <w:r w:rsidRPr="00FC1439">
        <w:rPr>
          <w:color w:val="000000"/>
          <w:sz w:val="26"/>
          <w:szCs w:val="26"/>
        </w:rPr>
        <w:t>2. Phương tiện chữa cháy thông dụng: vòi chữa cháy; lăng chữa cháy; đầu nối; trụ nước chữa cháy; bình chữa cháy các loại.</w:t>
      </w:r>
    </w:p>
    <w:p w:rsidR="00FC1439" w:rsidRPr="00FC1439" w:rsidRDefault="00FC1439" w:rsidP="00FC1439">
      <w:pPr>
        <w:pStyle w:val="NormalWeb"/>
        <w:spacing w:before="120" w:beforeAutospacing="0" w:after="0" w:afterAutospacing="0" w:line="234" w:lineRule="atLeast"/>
        <w:rPr>
          <w:color w:val="000000"/>
          <w:sz w:val="26"/>
          <w:szCs w:val="26"/>
        </w:rPr>
      </w:pPr>
      <w:r w:rsidRPr="00FC1439">
        <w:rPr>
          <w:color w:val="000000"/>
          <w:sz w:val="26"/>
          <w:szCs w:val="26"/>
        </w:rPr>
        <w:t>3. Chất chữa cháy gốc nước, chất tạo bọt chữa cháy, bột chữa cháy.</w:t>
      </w:r>
    </w:p>
    <w:p w:rsidR="00FC1439" w:rsidRPr="00FC1439" w:rsidRDefault="00FC1439" w:rsidP="00FC1439">
      <w:pPr>
        <w:pStyle w:val="NormalWeb"/>
        <w:spacing w:before="120" w:beforeAutospacing="0" w:after="0" w:afterAutospacing="0" w:line="234" w:lineRule="atLeast"/>
        <w:rPr>
          <w:color w:val="000000"/>
          <w:sz w:val="26"/>
          <w:szCs w:val="26"/>
        </w:rPr>
      </w:pPr>
      <w:r w:rsidRPr="00FC1439">
        <w:rPr>
          <w:color w:val="000000"/>
          <w:sz w:val="26"/>
          <w:szCs w:val="26"/>
        </w:rPr>
        <w:t>4. Thiết bị báo cháy: tủ trung tâm báo cháy, đầu báo cháy các loại, chuông báo cháy, đèn báo cháy, nút ấn báo cháy.</w:t>
      </w:r>
    </w:p>
    <w:p w:rsidR="00FC1439" w:rsidRPr="00FC1439" w:rsidRDefault="00FC1439" w:rsidP="00FC1439">
      <w:pPr>
        <w:pStyle w:val="NormalWeb"/>
        <w:spacing w:before="120" w:beforeAutospacing="0" w:after="0" w:afterAutospacing="0" w:line="234" w:lineRule="atLeast"/>
        <w:rPr>
          <w:color w:val="000000"/>
          <w:sz w:val="26"/>
          <w:szCs w:val="26"/>
        </w:rPr>
      </w:pPr>
      <w:r w:rsidRPr="00FC1439">
        <w:rPr>
          <w:color w:val="000000"/>
          <w:sz w:val="26"/>
          <w:szCs w:val="26"/>
        </w:rPr>
        <w:t>5. Thiết bị thuộc hệ thống chữa cháy (bằng khí, sol-khí, nước, chất chữa cháy gốc nước, bọt, bột): tủ điều khiển hệ thống chữa cháy tự động bằng khí; chuông, còi, đèn cảnh báo xả chất chữa cháy, nút ấn xả chất chữa cháy; van báo động, van tràn ngập; ống và phụ kiện đường ống phi kim loại dùng trong hệ thống cấp nước chữa cháy trong nhà hoặc dùng trong hệ thống chữa cháy tự động bằng nước, ống mềm dùng cho đầu phun chữa cháy; đầu phun chất chữa cháy các loại; chai chứa khí.</w:t>
      </w:r>
    </w:p>
    <w:p w:rsidR="00FC1439" w:rsidRPr="00FC1439" w:rsidRDefault="00FC1439" w:rsidP="00FC1439">
      <w:pPr>
        <w:pStyle w:val="NormalWeb"/>
        <w:spacing w:before="120" w:beforeAutospacing="0" w:after="0" w:afterAutospacing="0" w:line="234" w:lineRule="atLeast"/>
        <w:rPr>
          <w:color w:val="000000"/>
          <w:sz w:val="26"/>
          <w:szCs w:val="26"/>
        </w:rPr>
      </w:pPr>
      <w:r w:rsidRPr="00FC1439">
        <w:rPr>
          <w:color w:val="000000"/>
          <w:sz w:val="26"/>
          <w:szCs w:val="26"/>
        </w:rPr>
        <w:t>6. Đèn chỉ dẫn thoát nạn, đèn chiếu sáng sự cố.</w:t>
      </w:r>
    </w:p>
    <w:p w:rsidR="00B92865" w:rsidRPr="00FC1439" w:rsidRDefault="00B92865">
      <w:pPr>
        <w:rPr>
          <w:rFonts w:ascii="Times New Roman" w:hAnsi="Times New Roman" w:cs="Times New Roman"/>
          <w:sz w:val="26"/>
          <w:szCs w:val="26"/>
        </w:rPr>
      </w:pPr>
    </w:p>
    <w:sectPr w:rsidR="00B92865" w:rsidRPr="00FC14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39"/>
    <w:rsid w:val="00B92865"/>
    <w:rsid w:val="00FC14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CEA2D-13E0-4960-B78D-64DFE0C6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43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C1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9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2024-05-16T02:11:00Z</dcterms:created>
  <dcterms:modified xsi:type="dcterms:W3CDTF">2024-05-16T02:11:00Z</dcterms:modified>
</cp:coreProperties>
</file>